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193" w:rsidRPr="00650C21" w:rsidTr="00650C21">
        <w:tc>
          <w:tcPr>
            <w:tcW w:w="9062" w:type="dxa"/>
            <w:shd w:val="clear" w:color="auto" w:fill="A50021"/>
          </w:tcPr>
          <w:p w:rsidR="00A94193" w:rsidRPr="00BA5052" w:rsidRDefault="00650C21" w:rsidP="00FC1076">
            <w:pPr>
              <w:spacing w:before="0" w:after="0" w:line="440" w:lineRule="exact"/>
              <w:jc w:val="center"/>
              <w:rPr>
                <w:rFonts w:ascii="Arial Nova" w:hAnsi="Arial Nova"/>
                <w:color w:val="000000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A</w:t>
            </w:r>
            <w:r w:rsidR="00BA5052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="00FC1076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gasztroszkópia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elvégzésében</w:t>
            </w:r>
            <w:r w:rsidR="0073659C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szerzett jártasság </w:t>
            </w:r>
            <w:r w:rsidR="00F71BE7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direkt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obszerváción alapuló</w:t>
            </w:r>
            <w:r w:rsidR="006771EE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,</w:t>
            </w:r>
            <w:r w:rsidR="0073659C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szummatív értékelése – </w:t>
            </w:r>
            <w:r w:rsidR="00EC280A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vizsgához</w:t>
            </w:r>
          </w:p>
        </w:tc>
      </w:tr>
    </w:tbl>
    <w:p w:rsidR="009E40CA" w:rsidRDefault="009E40CA" w:rsidP="001332CE">
      <w:pPr>
        <w:spacing w:before="0"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711"/>
        <w:gridCol w:w="1400"/>
        <w:gridCol w:w="2544"/>
      </w:tblGrid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Vizsgálat időpontja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C280A" w:rsidRPr="008F6EE7" w:rsidTr="00EC280A">
        <w:trPr>
          <w:trHeight w:val="637"/>
        </w:trPr>
        <w:tc>
          <w:tcPr>
            <w:tcW w:w="2405" w:type="dxa"/>
            <w:shd w:val="clear" w:color="auto" w:fill="D9F0F3"/>
          </w:tcPr>
          <w:p w:rsidR="00A94193" w:rsidRPr="008F6EE7" w:rsidRDefault="00EC280A" w:rsidP="00EC280A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Tanuló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Pr="008F6EE7" w:rsidRDefault="00EC280A" w:rsidP="00EC280A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C280A" w:rsidRPr="008F6EE7" w:rsidTr="00EC280A">
        <w:trPr>
          <w:trHeight w:val="560"/>
        </w:trPr>
        <w:tc>
          <w:tcPr>
            <w:tcW w:w="2405" w:type="dxa"/>
            <w:shd w:val="clear" w:color="auto" w:fill="D9F0F3"/>
          </w:tcPr>
          <w:p w:rsidR="00A94193" w:rsidRPr="008F6EE7" w:rsidRDefault="00EC280A" w:rsidP="008F6EE7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Vizsgáztató 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Pr="008F6EE7" w:rsidRDefault="00EC280A" w:rsidP="00EC280A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rövid ismertetése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73659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nehézségi foka</w:t>
            </w:r>
          </w:p>
          <w:p w:rsidR="00BA5052" w:rsidRPr="008F6EE7" w:rsidRDefault="00BA5052" w:rsidP="00BA5052">
            <w:pPr>
              <w:spacing w:before="0" w:after="0"/>
              <w:ind w:left="30"/>
              <w:jc w:val="left"/>
              <w:rPr>
                <w:rFonts w:ascii="Arial Nova" w:hAnsi="Arial Nova"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)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  <w:p w:rsidR="00BA5052" w:rsidRPr="008F6EE7" w:rsidRDefault="00BA5052" w:rsidP="008E547F">
            <w:pPr>
              <w:tabs>
                <w:tab w:val="left" w:pos="1756"/>
                <w:tab w:val="left" w:pos="4449"/>
                <w:tab w:val="left" w:pos="4733"/>
              </w:tabs>
              <w:spacing w:before="0" w:after="0"/>
              <w:rPr>
                <w:rFonts w:ascii="Arial Nova" w:hAnsi="Arial Nova"/>
                <w:sz w:val="20"/>
                <w:szCs w:val="20"/>
              </w:rPr>
            </w:pPr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Könnyű </w:t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Közepesen 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193" w:rsidRDefault="00A94193" w:rsidP="001332CE">
      <w:pPr>
        <w:spacing w:before="0"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8F6EE7" w:rsidRDefault="008E547F" w:rsidP="008F6EE7">
            <w:pPr>
              <w:spacing w:before="0" w:after="0"/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>Jelölje pipával az űrlapon, hogy a gyakorló orvos rendelkezik-e elégséges szakértelemmel ahhoz, hogy önállóan végezzen ilyen beavatkozást</w:t>
            </w:r>
            <w:r w:rsidR="004A164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  <w:tc>
          <w:tcPr>
            <w:tcW w:w="3260" w:type="dxa"/>
            <w:shd w:val="clear" w:color="auto" w:fill="D9F0F3"/>
          </w:tcPr>
          <w:p w:rsidR="008F6EE7" w:rsidRDefault="008E547F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</w:t>
            </w:r>
            <w:r w:rsid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</w:t>
            </w:r>
          </w:p>
          <w:p w:rsidR="00304569" w:rsidRPr="001D2361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94193" w:rsidRPr="008F6EE7" w:rsidRDefault="008E547F" w:rsidP="00304569">
            <w:pPr>
              <w:spacing w:before="0"/>
              <w:jc w:val="center"/>
              <w:rPr>
                <w:rFonts w:ascii="Arial Nova" w:hAnsi="Arial Nova"/>
                <w:sz w:val="16"/>
                <w:szCs w:val="16"/>
                <w:lang w:val="hu-HU"/>
              </w:rPr>
            </w:pPr>
            <w:r w:rsidRPr="008F6EE7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7" w:type="dxa"/>
            <w:shd w:val="clear" w:color="auto" w:fill="D9F0F3"/>
          </w:tcPr>
          <w:p w:rsidR="008F6EE7" w:rsidRDefault="008E547F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1D2361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94193" w:rsidRPr="008F6EE7" w:rsidRDefault="008E547F" w:rsidP="008F6EE7">
            <w:pPr>
              <w:spacing w:before="0" w:after="0"/>
              <w:jc w:val="center"/>
              <w:rPr>
                <w:rFonts w:ascii="Arial Nova" w:hAnsi="Arial Nova"/>
                <w:sz w:val="16"/>
                <w:szCs w:val="16"/>
                <w:lang w:val="hu-HU"/>
              </w:rPr>
            </w:pPr>
            <w:r w:rsidRPr="008F6EE7">
              <w:rPr>
                <w:rFonts w:ascii="Arial Nova" w:hAnsi="Arial Nova"/>
                <w:sz w:val="16"/>
                <w:szCs w:val="16"/>
                <w:lang w:val="hu-HU"/>
              </w:rPr>
              <w:t>nem szükséges</w:t>
            </w:r>
            <w:r w:rsidR="00DA746A" w:rsidRPr="008F6EE7">
              <w:rPr>
                <w:rFonts w:ascii="Arial Nova" w:hAnsi="Arial Nova"/>
                <w:sz w:val="16"/>
                <w:szCs w:val="16"/>
                <w:lang w:val="hu-HU"/>
              </w:rPr>
              <w:t xml:space="preserve"> felügyelet</w:t>
            </w:r>
          </w:p>
        </w:tc>
      </w:tr>
      <w:tr w:rsidR="00A73AE3" w:rsidRPr="008F6EE7" w:rsidTr="00FD0A16">
        <w:tc>
          <w:tcPr>
            <w:tcW w:w="9062" w:type="dxa"/>
            <w:gridSpan w:val="3"/>
            <w:shd w:val="clear" w:color="auto" w:fill="295D48"/>
          </w:tcPr>
          <w:p w:rsidR="00A73AE3" w:rsidRPr="00761EC3" w:rsidRDefault="00761EC3" w:rsidP="00761EC3">
            <w:pPr>
              <w:pStyle w:val="Listaszerbekezds"/>
              <w:numPr>
                <w:ilvl w:val="0"/>
                <w:numId w:val="16"/>
              </w:numPr>
              <w:ind w:left="1306" w:hanging="226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 ELŐTTI TEENDŐK</w:t>
            </w: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EC280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3260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8E547F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</w:t>
            </w:r>
            <w:r w:rsidR="00EC280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3260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323ED3" w:rsidP="00EC280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beleegyezés</w:t>
            </w:r>
          </w:p>
        </w:tc>
        <w:tc>
          <w:tcPr>
            <w:tcW w:w="3260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EC280A" w:rsidP="008F6EE7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 (egyéni védő</w:t>
            </w:r>
            <w:r w:rsidR="001332CE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felszerelés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is)</w:t>
            </w:r>
          </w:p>
        </w:tc>
        <w:tc>
          <w:tcPr>
            <w:tcW w:w="3260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761EC3">
        <w:trPr>
          <w:trHeight w:val="587"/>
        </w:trPr>
        <w:tc>
          <w:tcPr>
            <w:tcW w:w="2405" w:type="dxa"/>
            <w:shd w:val="clear" w:color="auto" w:fill="D9F0F3"/>
          </w:tcPr>
          <w:p w:rsidR="00EC280A" w:rsidRPr="00CB7024" w:rsidRDefault="001332CE" w:rsidP="00EC280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 ellenőrzése</w:t>
            </w:r>
          </w:p>
        </w:tc>
        <w:tc>
          <w:tcPr>
            <w:tcW w:w="3260" w:type="dxa"/>
          </w:tcPr>
          <w:p w:rsidR="001332CE" w:rsidRPr="008F6EE7" w:rsidRDefault="001332CE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1332CE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</w:p>
        </w:tc>
        <w:tc>
          <w:tcPr>
            <w:tcW w:w="3260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1332CE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3260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F6EE7" w:rsidTr="00304569">
        <w:tc>
          <w:tcPr>
            <w:tcW w:w="2405" w:type="dxa"/>
            <w:shd w:val="clear" w:color="auto" w:fill="D9F0F3"/>
          </w:tcPr>
          <w:p w:rsidR="00A73AE3" w:rsidRPr="00CB7024" w:rsidRDefault="00A73AE3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8F6EE7" w:rsidRPr="00967ABD" w:rsidRDefault="008F6EE7">
            <w:pPr>
              <w:rPr>
                <w:rFonts w:ascii="Arial Nova" w:hAnsi="Arial Nova"/>
                <w:b/>
                <w:bCs/>
                <w:sz w:val="10"/>
                <w:szCs w:val="10"/>
                <w:lang w:val="hu-HU"/>
              </w:rPr>
            </w:pPr>
          </w:p>
          <w:p w:rsidR="008F6EE7" w:rsidRPr="00CB7024" w:rsidRDefault="008F6EE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8F6EE7" w:rsidRPr="00CB7024" w:rsidRDefault="008F6EE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8F6EE7" w:rsidRDefault="00A73AE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8F6EE7" w:rsidRDefault="008F6EE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3259"/>
        <w:gridCol w:w="3396"/>
      </w:tblGrid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4A1643" w:rsidRDefault="00C8201B" w:rsidP="004A1643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>Jelölje pipával az űrlapon, hogy a gyakorló orvos rendelkezik-e elégséges szakértelemmel ahhoz, hogy önállóan végezzen ilyen beavatkozást</w:t>
            </w:r>
            <w:r w:rsidR="004A1643" w:rsidRPr="004A164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  <w:tc>
          <w:tcPr>
            <w:tcW w:w="3259" w:type="dxa"/>
            <w:shd w:val="clear" w:color="auto" w:fill="D9F0F3"/>
          </w:tcPr>
          <w:p w:rsidR="001D2361" w:rsidRDefault="00C8201B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</w:t>
            </w:r>
            <w:r w:rsidR="004A1643"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</w:t>
            </w: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C8201B" w:rsidRPr="004A1643" w:rsidRDefault="00C8201B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1D2361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6" w:type="dxa"/>
            <w:shd w:val="clear" w:color="auto" w:fill="D9F0F3"/>
          </w:tcPr>
          <w:p w:rsidR="001D2361" w:rsidRDefault="00C8201B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C8201B" w:rsidRPr="004A1643" w:rsidRDefault="00DA746A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C8201B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C8201B" w:rsidRPr="004A1643" w:rsidTr="00E135AB">
        <w:tc>
          <w:tcPr>
            <w:tcW w:w="9060" w:type="dxa"/>
            <w:gridSpan w:val="3"/>
            <w:shd w:val="clear" w:color="auto" w:fill="295D48"/>
          </w:tcPr>
          <w:p w:rsidR="00C8201B" w:rsidRPr="0048275E" w:rsidRDefault="00B346AD" w:rsidP="00B346AD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II. 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4A1643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B346AD" w:rsidP="00077533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="004A1643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disztális végének 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irányítása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B346AD" w:rsidP="00B346AD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Inszuffláció/s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zív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ás/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optika lemosása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9D4477" w:rsidP="009D4477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Intubáció és nyelőcső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9D4477" w:rsidP="008A2D1A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Gyomor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9D4477" w:rsidP="009D447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Nyombél 2. szakasza 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9D4477" w:rsidRPr="004A1643" w:rsidTr="00E135AB">
        <w:tc>
          <w:tcPr>
            <w:tcW w:w="2405" w:type="dxa"/>
            <w:shd w:val="clear" w:color="auto" w:fill="D9F0F3"/>
          </w:tcPr>
          <w:p w:rsidR="009D4477" w:rsidRPr="00CB7024" w:rsidRDefault="009D4477" w:rsidP="00A24BA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Problémamegoldó képesség</w:t>
            </w:r>
          </w:p>
        </w:tc>
        <w:tc>
          <w:tcPr>
            <w:tcW w:w="3259" w:type="dxa"/>
          </w:tcPr>
          <w:p w:rsidR="009D4477" w:rsidRPr="004A1643" w:rsidRDefault="009D4477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9D4477" w:rsidRPr="004A1643" w:rsidRDefault="009D4477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E135AB">
        <w:tc>
          <w:tcPr>
            <w:tcW w:w="2405" w:type="dxa"/>
            <w:shd w:val="clear" w:color="auto" w:fill="D9F0F3"/>
          </w:tcPr>
          <w:p w:rsidR="00C8201B" w:rsidRPr="00CB7024" w:rsidRDefault="004A1643" w:rsidP="00A24BA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3259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9D4477" w:rsidRPr="004A1643" w:rsidTr="00E135AB">
        <w:tc>
          <w:tcPr>
            <w:tcW w:w="2405" w:type="dxa"/>
            <w:shd w:val="clear" w:color="auto" w:fill="D9F0F3"/>
          </w:tcPr>
          <w:p w:rsidR="009D4477" w:rsidRPr="00CB7024" w:rsidRDefault="009D4477" w:rsidP="00A24BA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3259" w:type="dxa"/>
          </w:tcPr>
          <w:p w:rsidR="009D4477" w:rsidRPr="004A1643" w:rsidRDefault="009D4477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9D4477" w:rsidRPr="004A1643" w:rsidRDefault="009D4477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E135AB">
        <w:tc>
          <w:tcPr>
            <w:tcW w:w="2405" w:type="dxa"/>
            <w:shd w:val="clear" w:color="auto" w:fill="D9F0F3"/>
          </w:tcPr>
          <w:p w:rsidR="00A73AE3" w:rsidRPr="00CB7024" w:rsidRDefault="004A164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Vizuális megjelenítés</w:t>
            </w:r>
          </w:p>
        </w:tc>
        <w:tc>
          <w:tcPr>
            <w:tcW w:w="3259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E135AB">
        <w:tc>
          <w:tcPr>
            <w:tcW w:w="2405" w:type="dxa"/>
            <w:shd w:val="clear" w:color="auto" w:fill="D9F0F3"/>
          </w:tcPr>
          <w:p w:rsidR="00A73AE3" w:rsidRDefault="004A1643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A24BAA" w:rsidRDefault="00A24BAA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24BAA" w:rsidRPr="00CB7024" w:rsidRDefault="00A24BAA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5" w:type="dxa"/>
            <w:gridSpan w:val="2"/>
          </w:tcPr>
          <w:p w:rsidR="00A73AE3" w:rsidRPr="004A1643" w:rsidRDefault="00A73AE3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9060" w:type="dxa"/>
            <w:gridSpan w:val="3"/>
            <w:shd w:val="clear" w:color="auto" w:fill="295D48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III. 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VIZUÁLIS MEGJELENÍTÉS</w:t>
            </w: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Default="00E135AB" w:rsidP="00E135AB">
            <w:pPr>
              <w:jc w:val="left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Nyelőcső</w:t>
            </w:r>
          </w:p>
        </w:tc>
        <w:tc>
          <w:tcPr>
            <w:tcW w:w="3259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rPr>
          <w:trHeight w:val="655"/>
        </w:trPr>
        <w:tc>
          <w:tcPr>
            <w:tcW w:w="2405" w:type="dxa"/>
            <w:shd w:val="clear" w:color="auto" w:fill="D9F0F3"/>
          </w:tcPr>
          <w:p w:rsidR="00E135AB" w:rsidRPr="003C238C" w:rsidRDefault="00E135AB" w:rsidP="00E135AB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E135AB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Gastrooesophagealis junctio</w:t>
            </w:r>
          </w:p>
        </w:tc>
        <w:tc>
          <w:tcPr>
            <w:tcW w:w="3259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Pr="003C238C" w:rsidRDefault="00E135AB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Fundus</w:t>
            </w:r>
          </w:p>
        </w:tc>
        <w:tc>
          <w:tcPr>
            <w:tcW w:w="3259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E135AB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Pr="003C238C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Kisgörbület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Pr="003C238C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Nagygörbület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Pr="003C238C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Incisura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Pr="003C238C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Pylorus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1. szakasza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. szakasza</w:t>
            </w: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B6181D" w:rsidRPr="004A1643" w:rsidTr="00E135AB">
        <w:tc>
          <w:tcPr>
            <w:tcW w:w="2405" w:type="dxa"/>
            <w:shd w:val="clear" w:color="auto" w:fill="D9F0F3"/>
          </w:tcPr>
          <w:p w:rsidR="00B6181D" w:rsidRDefault="00B6181D" w:rsidP="00B6181D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B6181D" w:rsidRDefault="00B6181D" w:rsidP="00E135AB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B6181D" w:rsidRDefault="00B6181D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9060" w:type="dxa"/>
            <w:gridSpan w:val="3"/>
            <w:shd w:val="clear" w:color="auto" w:fill="295D48"/>
          </w:tcPr>
          <w:p w:rsidR="00E135AB" w:rsidRPr="0048275E" w:rsidRDefault="00E135AB" w:rsidP="00E135AB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IV. TALÁLT ELTÉRÉSEK KEZELÉSE </w:t>
            </w: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Pr="00CB7024" w:rsidRDefault="00E135AB" w:rsidP="00E135AB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Észlelés és beazonosítás</w:t>
            </w:r>
          </w:p>
        </w:tc>
        <w:tc>
          <w:tcPr>
            <w:tcW w:w="3259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Pr="00CB7024" w:rsidRDefault="003E7FD1" w:rsidP="003E7FD1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</w:t>
            </w:r>
          </w:p>
        </w:tc>
        <w:tc>
          <w:tcPr>
            <w:tcW w:w="3259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Pr="00CB7024" w:rsidRDefault="00E135AB" w:rsidP="00E135AB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3259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E135AB" w:rsidRPr="004A1643" w:rsidTr="00E135AB">
        <w:tc>
          <w:tcPr>
            <w:tcW w:w="2405" w:type="dxa"/>
            <w:shd w:val="clear" w:color="auto" w:fill="D9F0F3"/>
          </w:tcPr>
          <w:p w:rsidR="00E135AB" w:rsidRPr="00CB7024" w:rsidRDefault="00E135AB" w:rsidP="00E135AB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E135AB" w:rsidRPr="00CB7024" w:rsidRDefault="00E135AB" w:rsidP="00E135AB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E135AB" w:rsidRPr="00CB7024" w:rsidRDefault="00E135AB" w:rsidP="00E135AB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5" w:type="dxa"/>
            <w:gridSpan w:val="2"/>
          </w:tcPr>
          <w:p w:rsidR="00E135AB" w:rsidRPr="004A1643" w:rsidRDefault="00E135AB" w:rsidP="00E135AB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8E547F" w:rsidRDefault="00A73AE3" w:rsidP="001D2361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>
              <w:br w:type="page"/>
            </w:r>
            <w:r w:rsidR="001D2361" w:rsidRPr="001D2361">
              <w:rPr>
                <w:rFonts w:ascii="Arial Nova" w:hAnsi="Arial Nova"/>
                <w:sz w:val="20"/>
                <w:szCs w:val="20"/>
                <w:lang w:val="hu-HU"/>
              </w:rPr>
              <w:t>Jelölje pipával az űrlapon, hogy a gyakorló orvos rendelkezik-e elégséges szakértelemmel ahhoz, hogy önállóan végezzen ilyen beavatkozást.</w:t>
            </w:r>
          </w:p>
        </w:tc>
        <w:tc>
          <w:tcPr>
            <w:tcW w:w="3259" w:type="dxa"/>
            <w:shd w:val="clear" w:color="auto" w:fill="D9F0F3"/>
          </w:tcPr>
          <w:p w:rsidR="001D2361" w:rsidRDefault="001D2361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beavatkozást</w:t>
            </w: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73AE3" w:rsidRPr="008E547F" w:rsidRDefault="001D2361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6" w:type="dxa"/>
            <w:shd w:val="clear" w:color="auto" w:fill="D9F0F3"/>
          </w:tcPr>
          <w:p w:rsidR="001D2361" w:rsidRDefault="001D2361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73AE3" w:rsidRPr="008E547F" w:rsidRDefault="00DA746A" w:rsidP="00304569">
            <w:pPr>
              <w:spacing w:before="0" w:after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1D2361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295D48"/>
          </w:tcPr>
          <w:p w:rsidR="00A73AE3" w:rsidRPr="0048275E" w:rsidRDefault="006B6B9F" w:rsidP="006B6B9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V. VIZSGÁLAT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UTÁN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E75B60" w:rsidRPr="00CB7024" w:rsidRDefault="001D2361" w:rsidP="00E75B60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1D2361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1D2361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E75B60" w:rsidRPr="00CB7024" w:rsidRDefault="00E75B60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5" w:type="dxa"/>
            <w:gridSpan w:val="2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295D48"/>
          </w:tcPr>
          <w:p w:rsidR="00A73AE3" w:rsidRPr="0048275E" w:rsidRDefault="006B6B9F" w:rsidP="006B6B9F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</w:t>
            </w:r>
            <w:r w:rsidR="003E7FD1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. 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S ELJÁRÁSHOZ KAPCSOLÓDÓ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,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NEM TECHNIKAI JELLEGŰ 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E75B60" w:rsidP="009B0E30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Helyzetfelismerés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rPr>
          <w:trHeight w:val="588"/>
        </w:trPr>
        <w:tc>
          <w:tcPr>
            <w:tcW w:w="2405" w:type="dxa"/>
            <w:shd w:val="clear" w:color="auto" w:fill="D9F0F3"/>
          </w:tcPr>
          <w:p w:rsidR="00A73AE3" w:rsidRPr="00CB7024" w:rsidRDefault="006B6B9F" w:rsidP="006B6B9F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 és döntés</w:t>
            </w:r>
            <w:r w:rsidR="00E75B60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hozatal</w:t>
            </w:r>
          </w:p>
        </w:tc>
        <w:tc>
          <w:tcPr>
            <w:tcW w:w="3259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F71BE7" w:rsidRPr="00CB7024" w:rsidRDefault="00F71BE7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5" w:type="dxa"/>
            <w:gridSpan w:val="2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295D48"/>
          </w:tcPr>
          <w:p w:rsidR="00A73AE3" w:rsidRPr="0048275E" w:rsidRDefault="00E75B60" w:rsidP="00FD0A16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TOVÁBBI FEJLESZTÉST IGÉNYLŐ TERÜLETEK</w:t>
            </w: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auto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1.</w:t>
            </w: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auto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2.</w:t>
            </w:r>
          </w:p>
        </w:tc>
      </w:tr>
      <w:tr w:rsidR="00A73AE3" w:rsidRPr="008E547F" w:rsidTr="003E7FD1">
        <w:tc>
          <w:tcPr>
            <w:tcW w:w="9060" w:type="dxa"/>
            <w:gridSpan w:val="3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E7FD1">
        <w:tc>
          <w:tcPr>
            <w:tcW w:w="9060" w:type="dxa"/>
            <w:gridSpan w:val="3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3.</w:t>
            </w:r>
          </w:p>
        </w:tc>
      </w:tr>
      <w:tr w:rsidR="00A73AE3" w:rsidRPr="008E547F" w:rsidTr="003E7FD1">
        <w:tc>
          <w:tcPr>
            <w:tcW w:w="9060" w:type="dxa"/>
            <w:gridSpan w:val="3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3259"/>
        <w:gridCol w:w="3396"/>
      </w:tblGrid>
      <w:tr w:rsidR="0038761D" w:rsidRPr="00E75B60" w:rsidTr="00921165">
        <w:tc>
          <w:tcPr>
            <w:tcW w:w="2405" w:type="dxa"/>
            <w:shd w:val="clear" w:color="auto" w:fill="D9F0F3"/>
          </w:tcPr>
          <w:p w:rsidR="005D6D26" w:rsidRDefault="00E75B60" w:rsidP="00E75B60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E75B6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 xml:space="preserve">Szükséges felügyelet meghatározása – </w:t>
            </w:r>
          </w:p>
          <w:p w:rsidR="00E75B60" w:rsidRPr="00E75B60" w:rsidRDefault="00E75B60" w:rsidP="00E75B60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E75B6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Összegzés</w:t>
            </w:r>
          </w:p>
          <w:p w:rsidR="0038761D" w:rsidRPr="00E75B60" w:rsidRDefault="0038761D" w:rsidP="00FD0A16">
            <w:pPr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259" w:type="dxa"/>
            <w:shd w:val="clear" w:color="auto" w:fill="D9F0F3"/>
          </w:tcPr>
          <w:p w:rsidR="00E75B60" w:rsidRDefault="00E75B60" w:rsidP="00E75B6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beavatkozást</w:t>
            </w:r>
          </w:p>
          <w:p w:rsidR="00304569" w:rsidRPr="004A1643" w:rsidRDefault="00304569" w:rsidP="00E75B6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761D" w:rsidRPr="00E75B60" w:rsidRDefault="00E75B60" w:rsidP="00304569">
            <w:pPr>
              <w:spacing w:before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6" w:type="dxa"/>
            <w:shd w:val="clear" w:color="auto" w:fill="D9F0F3"/>
          </w:tcPr>
          <w:p w:rsidR="00304569" w:rsidRDefault="00E75B60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761D" w:rsidRPr="00E75B60" w:rsidRDefault="00DA746A" w:rsidP="00304569">
            <w:pPr>
              <w:spacing w:before="0" w:after="0" w:line="600" w:lineRule="auto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E75B60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38761D" w:rsidRPr="00E75B60" w:rsidTr="00921165">
        <w:tc>
          <w:tcPr>
            <w:tcW w:w="2405" w:type="dxa"/>
            <w:shd w:val="clear" w:color="auto" w:fill="D9F0F3"/>
          </w:tcPr>
          <w:p w:rsidR="0038761D" w:rsidRPr="00E75B60" w:rsidRDefault="00FE024A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) a megfelelő négyzetet</w:t>
            </w:r>
          </w:p>
        </w:tc>
        <w:tc>
          <w:tcPr>
            <w:tcW w:w="3259" w:type="dxa"/>
          </w:tcPr>
          <w:p w:rsidR="0038761D" w:rsidRPr="00E75B60" w:rsidRDefault="0038761D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6" w:type="dxa"/>
          </w:tcPr>
          <w:p w:rsidR="0038761D" w:rsidRPr="00E75B60" w:rsidRDefault="0038761D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A94193" w:rsidRDefault="00A94193" w:rsidP="00A24BAA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4"/>
        <w:gridCol w:w="3259"/>
        <w:gridCol w:w="1278"/>
        <w:gridCol w:w="2119"/>
      </w:tblGrid>
      <w:tr w:rsidR="0038761D" w:rsidRPr="00FE024A" w:rsidTr="006B6B9F">
        <w:tc>
          <w:tcPr>
            <w:tcW w:w="2404" w:type="dxa"/>
            <w:shd w:val="clear" w:color="auto" w:fill="D9F0F3"/>
          </w:tcPr>
          <w:p w:rsidR="0038761D" w:rsidRPr="00FE024A" w:rsidRDefault="006B6B9F" w:rsidP="006B6B9F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Vizsgáztató </w:t>
            </w:r>
            <w:r w:rsidR="00FE024A" w:rsidRPr="00FE024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orvos neve</w:t>
            </w:r>
          </w:p>
        </w:tc>
        <w:tc>
          <w:tcPr>
            <w:tcW w:w="3259" w:type="dxa"/>
            <w:shd w:val="clear" w:color="auto" w:fill="auto"/>
          </w:tcPr>
          <w:p w:rsidR="0038761D" w:rsidRPr="00FE024A" w:rsidRDefault="0038761D" w:rsidP="00FD0A16">
            <w:pPr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8" w:type="dxa"/>
            <w:shd w:val="clear" w:color="auto" w:fill="D9F0F3"/>
          </w:tcPr>
          <w:p w:rsidR="0038761D" w:rsidRPr="00FE024A" w:rsidRDefault="006B6B9F" w:rsidP="006B6B9F">
            <w:pPr>
              <w:spacing w:after="0"/>
              <w:jc w:val="left"/>
              <w:rPr>
                <w:rFonts w:ascii="Arial Nova" w:hAnsi="Arial Nova"/>
                <w:b/>
                <w:bCs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val="hu-HU"/>
              </w:rPr>
              <w:t>pecsétszám</w:t>
            </w:r>
          </w:p>
        </w:tc>
        <w:tc>
          <w:tcPr>
            <w:tcW w:w="2119" w:type="dxa"/>
            <w:shd w:val="clear" w:color="auto" w:fill="auto"/>
          </w:tcPr>
          <w:p w:rsidR="0038761D" w:rsidRPr="00FE024A" w:rsidRDefault="0038761D" w:rsidP="00FD0A16">
            <w:pPr>
              <w:spacing w:after="0"/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5D6D26" w:rsidRPr="00FE024A" w:rsidTr="005D6D26">
        <w:tc>
          <w:tcPr>
            <w:tcW w:w="2404" w:type="dxa"/>
            <w:shd w:val="clear" w:color="auto" w:fill="D9F0F3"/>
          </w:tcPr>
          <w:p w:rsidR="005D6D26" w:rsidRPr="00FE024A" w:rsidRDefault="006B6B9F" w:rsidP="006B6B9F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Vizsgáztató </w:t>
            </w:r>
            <w:r w:rsidR="005D6D26" w:rsidRPr="00FE024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orvos aláírása</w:t>
            </w:r>
          </w:p>
        </w:tc>
        <w:tc>
          <w:tcPr>
            <w:tcW w:w="6656" w:type="dxa"/>
            <w:gridSpan w:val="3"/>
          </w:tcPr>
          <w:p w:rsidR="005D6D26" w:rsidRPr="00FE024A" w:rsidRDefault="005D6D26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38761D" w:rsidRDefault="0038761D"/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400"/>
        <w:gridCol w:w="10"/>
        <w:gridCol w:w="6642"/>
        <w:gridCol w:w="10"/>
      </w:tblGrid>
      <w:tr w:rsidR="00FE024A" w:rsidRPr="008E547F" w:rsidTr="000B25B1">
        <w:trPr>
          <w:gridBefore w:val="1"/>
          <w:wBefore w:w="10" w:type="dxa"/>
        </w:trPr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E024A" w:rsidRPr="00714B05" w:rsidRDefault="004062CA" w:rsidP="00127003">
            <w:pPr>
              <w:jc w:val="left"/>
              <w:rPr>
                <w:rFonts w:ascii="Arial Nova" w:hAnsi="Arial Nova"/>
                <w:b/>
                <w:bCs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(deskriptorok)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9062" w:type="dxa"/>
            <w:gridSpan w:val="4"/>
            <w:shd w:val="clear" w:color="auto" w:fill="295D48"/>
          </w:tcPr>
          <w:p w:rsidR="0038761D" w:rsidRPr="0048275E" w:rsidRDefault="004B0DE4" w:rsidP="004B0DE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I.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  <w:r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 ELŐTTI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71253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6652" w:type="dxa"/>
            <w:gridSpan w:val="2"/>
          </w:tcPr>
          <w:p w:rsidR="0038761D" w:rsidRPr="00127003" w:rsidRDefault="00712537" w:rsidP="00304569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53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valóban helytálló-e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indikáció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mérlegeli a lehetséges alternatívákat.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Kockázatértékelés</w:t>
            </w:r>
          </w:p>
        </w:tc>
        <w:tc>
          <w:tcPr>
            <w:tcW w:w="6652" w:type="dxa"/>
            <w:gridSpan w:val="2"/>
          </w:tcPr>
          <w:p w:rsidR="00712537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vannak-e társbetegségek és a gyógyszeres anamnézist. </w:t>
            </w:r>
          </w:p>
          <w:p w:rsidR="00712537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az eljárás járhat-e a betegre nézve kockázattal. </w:t>
            </w:r>
          </w:p>
          <w:p w:rsidR="0038761D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esetleges kockázatok mérséklése érdekében megteszi a szükséges intézkedéseket.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beleegyezésének ellenőrzése</w:t>
            </w:r>
          </w:p>
        </w:tc>
        <w:tc>
          <w:tcPr>
            <w:tcW w:w="6652" w:type="dxa"/>
            <w:gridSpan w:val="2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tréning kezdetekor az oktató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orvos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jelen van és megfigyeli, ahogyan a gyakorló orvos tájékoztatja a beteget és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meg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kéri, egyezzen bele a vizsgálati eljárásba. Ha a gyakorló orvos megfelelő gyakorlatot szerzett ebben, a későbbiekben elfogadható, ha a gyakorló orvos csak ellenőrzi, hogy a beleegyező nyilatkozatot valamely szakképzett személy annak rendje és módja szerint megszerezte.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szummatív értékeléskor a belegyező nyilatkozat megszerzésének folyamatát is végig kell követni és értékelni. 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eljárást mindenre kiterjedően, jelentős információkihagyás nélkül ismerteti a beteggel, a betegre szabottan, beleértve az eljárással járó esetleges kockázatokat és következményeket.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Kerüli az orvosi szakzsargon használatát.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Feleslegesen nem ébreszt aggodalmat a betegben.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verbális és nonverbális kommunikációt alkalmaz,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lehetőséget biztosít a betegnek, hogy feltehesse kérdéseit.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orvos</w:t>
            </w:r>
            <w:r>
              <w:rPr>
                <w:rFonts w:cs="Calibri"/>
                <w:sz w:val="20"/>
                <w:szCs w:val="20"/>
                <w:lang w:val="hu-HU"/>
              </w:rPr>
              <w:t>−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beteg kapcsolatot, bizalmi viszonyt (rapport) alakít ki.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Tiszteletben tartja a beteg véleményét, aggodalmát, é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rzé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seit.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</w:p>
        </w:tc>
        <w:tc>
          <w:tcPr>
            <w:tcW w:w="6652" w:type="dxa"/>
            <w:gridSpan w:val="2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Elvégzi az eljárás megkezdése előtt szükséges ellenőrzéseket, és ellenőrzi, hogy az egyéni védőfelszerelések viselése is megfelel a helyi rendelkezéseknek.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asszisztenciát nyújtó személyzet valamennyi tagja teljes mértékben tájékozott az aktuális esetről.</w:t>
            </w:r>
          </w:p>
          <w:p w:rsidR="0038761D" w:rsidRPr="004B0DE4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rendelkezésre állnak mindazok a gyógyszerek, illetve tartozékok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(accessoriumok)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, amelyekre esetleg szükség lehet a vizsgálat során.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Műszerre vonatkozó ellenőrzések elvégzése</w:t>
            </w:r>
          </w:p>
        </w:tc>
        <w:tc>
          <w:tcPr>
            <w:tcW w:w="6652" w:type="dxa"/>
            <w:gridSpan w:val="2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 rendelkezésre álló endoszkóp megfelelő az aktuális beteg számára.</w:t>
            </w:r>
          </w:p>
          <w:p w:rsidR="004B0DE4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endoszkóp megfelelően működik, mielőtt megkísérelné a</w:t>
            </w:r>
            <w:r w:rsidR="00921165">
              <w:rPr>
                <w:rFonts w:ascii="Arial Nova" w:hAnsi="Arial Nova"/>
                <w:sz w:val="20"/>
                <w:szCs w:val="20"/>
                <w:lang w:val="hu-HU"/>
              </w:rPr>
              <w:t xml:space="preserve"> műszer be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vezetését.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llenőrzi, hogy minden csatorna és csatlakozás működik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 hogy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a fényforrást és az angulációt működtető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mechanizmusok ne legyenek zárt állapotban.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6652" w:type="dxa"/>
            <w:gridSpan w:val="2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 a vizsgálat előtt, hogy az oxigénszaturáció és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vitális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paraméterek monitorozása megfelelően működik.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Megteszi a szükséges intézkedéseket, ha az értékek nem optimálisak.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 során mindvégig láthatóan figyelemmel kíséri a monitorozott értékeket.</w:t>
            </w:r>
          </w:p>
        </w:tc>
      </w:tr>
      <w:tr w:rsidR="0038761D" w:rsidRPr="008E547F" w:rsidTr="000B25B1">
        <w:trPr>
          <w:gridBefore w:val="1"/>
          <w:wBefore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</w:p>
        </w:tc>
        <w:tc>
          <w:tcPr>
            <w:tcW w:w="6652" w:type="dxa"/>
            <w:gridSpan w:val="2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Indokolt esetben vénát biztosít és megfelelő helyi érzéstelenítést alkalmaz. 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Szedációt és/vagy fájdalomcsillapítót alkalmaz a beteg állapotának megfelelő adagolás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ban,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az érvényben lévő irányelvek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kel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összhangban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921165" w:rsidRDefault="004B0DE4" w:rsidP="00921165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gyógyszerek adagolását egyezteti az asszisztenciát végző személyzettel.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9062" w:type="dxa"/>
            <w:gridSpan w:val="4"/>
            <w:shd w:val="clear" w:color="auto" w:fill="295D48"/>
          </w:tcPr>
          <w:p w:rsidR="0038761D" w:rsidRPr="0048275E" w:rsidRDefault="00127003" w:rsidP="004B0DE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4B0DE4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II. </w:t>
            </w:r>
            <w:r w:rsidR="004B0DE4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>ENDOSZKÓP</w:t>
            </w:r>
            <w:r w:rsidR="004B0DE4">
              <w:rPr>
                <w:rFonts w:ascii="Arial Nova" w:hAnsi="Arial Nova"/>
                <w:b/>
                <w:bCs/>
                <w:color w:val="FFFFFF"/>
                <w:sz w:val="20"/>
              </w:rPr>
              <w:t>OS</w:t>
            </w:r>
            <w:r w:rsidR="004B0DE4" w:rsidRPr="004B53AD">
              <w:rPr>
                <w:rFonts w:ascii="Arial Nova" w:hAnsi="Arial Nova"/>
                <w:b/>
                <w:bCs/>
                <w:color w:val="FFFFFF"/>
                <w:sz w:val="20"/>
              </w:rPr>
              <w:t xml:space="preserve"> </w:t>
            </w:r>
            <w:r w:rsidR="004B0DE4">
              <w:rPr>
                <w:rFonts w:ascii="Arial Nova" w:hAnsi="Arial Nova"/>
                <w:b/>
                <w:bCs/>
                <w:color w:val="FFFFFF"/>
                <w:sz w:val="20"/>
              </w:rPr>
              <w:t>VIZSGÁLAT</w:t>
            </w:r>
            <w:r w:rsidR="004B0DE4"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6652" w:type="dxa"/>
            <w:gridSpan w:val="2"/>
          </w:tcPr>
          <w:p w:rsidR="00921165" w:rsidRPr="00127003" w:rsidRDefault="00921165" w:rsidP="00921165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Mindvégig magabiztosan irányítja 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gasztr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oszkóp disztális végét és szárát. </w:t>
            </w:r>
          </w:p>
          <w:p w:rsidR="00921165" w:rsidRPr="00127003" w:rsidRDefault="00921165" w:rsidP="00921165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Hatékony műszerkezelés: a gasztroszkóp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disztális végének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bal kézzel történő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irányítása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a jobb kéz használata a bevezetésre és visszahúzásra.</w:t>
            </w:r>
          </w:p>
          <w:p w:rsidR="0038761D" w:rsidRPr="00127003" w:rsidRDefault="00921165" w:rsidP="00921165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Hurokképződés minimális szinten tartása.</w:t>
            </w:r>
          </w:p>
        </w:tc>
      </w:tr>
      <w:tr w:rsidR="009F2CF7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9F2CF7" w:rsidRDefault="009F2CF7" w:rsidP="00077533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</w:t>
            </w:r>
            <w:r w:rsidRPr="00284AB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rányító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kereke</w:t>
            </w:r>
            <w:r w:rsidRPr="00284AB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 kezelése</w:t>
            </w:r>
          </w:p>
        </w:tc>
        <w:tc>
          <w:tcPr>
            <w:tcW w:w="6652" w:type="dxa"/>
            <w:gridSpan w:val="2"/>
          </w:tcPr>
          <w:p w:rsidR="009F2CF7" w:rsidRPr="00284AB7" w:rsidRDefault="009F2CF7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>Az angulációt lehetővé tevő irányító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kerekeke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>t megfelelően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használja,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a vizsgálati eljárás nagyobb részében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csak 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>a bal kezé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nek segítségével irányítva, mozgatva azokat.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077533" w:rsidP="00077533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="00F71BE7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disztális végének irányítása</w:t>
            </w:r>
          </w:p>
        </w:tc>
        <w:tc>
          <w:tcPr>
            <w:tcW w:w="6652" w:type="dxa"/>
            <w:gridSpan w:val="2"/>
          </w:tcPr>
          <w:p w:rsidR="009F2CF7" w:rsidRPr="001E096F" w:rsidRDefault="009F2CF7" w:rsidP="009F2CF7">
            <w:pPr>
              <w:pStyle w:val="Listaszerbekezds"/>
              <w:numPr>
                <w:ilvl w:val="0"/>
                <w:numId w:val="8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disztális végének előre-hátra történő és oldalirányú mozgatását lehetővé tevő kerekek együtt és külön-külön kezelése, illetve mozgatása, szükség szerint, lehetővé téve ezzel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 xml:space="preserve"> disztális végének teljes mértékben kontrollált mozgását.</w:t>
            </w:r>
          </w:p>
          <w:p w:rsidR="0038761D" w:rsidRPr="00127003" w:rsidRDefault="009F2CF7" w:rsidP="009F2CF7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E096F">
              <w:rPr>
                <w:rFonts w:ascii="Arial Nova" w:hAnsi="Arial Nova"/>
                <w:sz w:val="20"/>
                <w:szCs w:val="20"/>
                <w:lang w:val="hu-HU"/>
              </w:rPr>
              <w:t>Feleslegesen nem érintkezik a nyálkahártyával, a lehetőségekhez képest mindenkor a lumen képét jeleníti meg.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shd w:val="clear" w:color="auto" w:fill="D9F0F3"/>
          </w:tcPr>
          <w:p w:rsidR="0038761D" w:rsidRPr="00CB7024" w:rsidRDefault="00127003" w:rsidP="00127003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Levegő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befúvás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/szívás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irányítása</w:t>
            </w:r>
          </w:p>
        </w:tc>
        <w:tc>
          <w:tcPr>
            <w:tcW w:w="6652" w:type="dxa"/>
            <w:gridSpan w:val="2"/>
          </w:tcPr>
          <w:p w:rsidR="0038761D" w:rsidRPr="00127003" w:rsidRDefault="00921165" w:rsidP="0012700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A levegőbefúvás, a szív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ás, valamint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optika lemosásának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megfelelő időben történő alkalmazása.</w:t>
            </w:r>
          </w:p>
        </w:tc>
      </w:tr>
      <w:tr w:rsidR="009F2CF7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9F2CF7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Intubáció és nyelőcső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9F2CF7" w:rsidRPr="00CD4276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Bevezetés a szájon és a garaton keresztül endoszkópos megjelenítés mellett.</w:t>
            </w:r>
          </w:p>
          <w:p w:rsidR="009F2CF7" w:rsidRPr="00CD4276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A nyelőcső óvatos és biztonságos intubálása endoszkópos megjelenítés mellett.</w:t>
            </w:r>
          </w:p>
          <w:p w:rsidR="009F2CF7" w:rsidRPr="00127003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Továbbhaladás a nyelőcsőben endoszkópos megjelenítés mellett.</w:t>
            </w:r>
          </w:p>
        </w:tc>
      </w:tr>
      <w:tr w:rsidR="009F2CF7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9F2CF7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Gyomor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9F2CF7" w:rsidRPr="00CD4276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Probléma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mentes áthaladás a gyomron és a pyloruson, mindvégig a lumen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 megjelenítve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9F2CF7" w:rsidRPr="00127003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A fontosabb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azonosítási pontok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 xml:space="preserve"> gyors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megtalálása, </w:t>
            </w:r>
            <w:r w:rsidRPr="00CD4276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</w:tc>
      </w:tr>
      <w:tr w:rsidR="009F2CF7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9F2CF7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9F2CF7" w:rsidRPr="002F4631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Bevezetés a nyombél 2. szakaszába.</w:t>
            </w:r>
          </w:p>
          <w:p w:rsidR="009F2CF7" w:rsidRPr="00127003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gasztroszkóp pozíciójának optimalizálása a nyombél 2. szakaszában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(rövidítés)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9F2CF7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9F2CF7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9F2CF7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felmerülő technikai jellegű kihívásokat jól láthatóan logikus problémamegközelítéssel meg tudja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oldani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(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endoszkóp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nagyobb irányváltoztatás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ai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nak megoldása, patológiás elváltozások detektálása, nagyobb hiatus hernia) annak érdekében, hogy teljes körű gyomortükrözést végezzen.</w:t>
            </w:r>
          </w:p>
          <w:p w:rsidR="009F2CF7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beteg anatómiájának és a technikai jellegű kihívásoknak függvényében képes az eljárás során alkalmazkodni úgy, hogy a legjobb opciót alkalmazza.</w:t>
            </w:r>
          </w:p>
          <w:p w:rsidR="009F2CF7" w:rsidRPr="00127003" w:rsidRDefault="009F2CF7" w:rsidP="009F2CF7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Ha egy technikai megközelítés nem sikerül, a helyzetet időben felismeri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és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vagy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alkalmazkodik a helyzethez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vagy stratégiát vált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 xml:space="preserve"> és a következő legjobb lehetséges megoldáshoz folyamodik.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38761D" w:rsidRPr="00127003" w:rsidRDefault="009F2CF7" w:rsidP="0007753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F4631">
              <w:rPr>
                <w:rFonts w:ascii="Arial Nova" w:hAnsi="Arial Nova"/>
                <w:sz w:val="20"/>
                <w:szCs w:val="20"/>
                <w:lang w:val="hu-HU"/>
              </w:rPr>
              <w:t>A teljes vizsgálati eljárást az indokoltan szükséges és megfelelő időintervallumban végzi el, kapkodás vagy az eljárás indokolatlan elnyújtása nélkül.</w:t>
            </w:r>
          </w:p>
        </w:tc>
      </w:tr>
      <w:tr w:rsidR="0038761D" w:rsidRPr="008E547F" w:rsidTr="000B25B1">
        <w:trPr>
          <w:gridAfter w:val="1"/>
          <w:wAfter w:w="10" w:type="dxa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9F2CF7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9F2CF7" w:rsidRDefault="009F2CF7" w:rsidP="00B10DFB">
            <w:pPr>
              <w:pStyle w:val="Listaszerbekezds"/>
              <w:numPr>
                <w:ilvl w:val="0"/>
                <w:numId w:val="10"/>
              </w:numPr>
              <w:spacing w:before="0" w:after="0"/>
              <w:ind w:left="180" w:hanging="18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Mindvégig tudatában van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annak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és figyel arra, hogy a betegnek kellemetlen a vizsgálat, és figyel a lehetséges okokra is.</w:t>
            </w:r>
          </w:p>
          <w:p w:rsidR="009F2CF7" w:rsidRDefault="009F2CF7" w:rsidP="00B10DFB">
            <w:pPr>
              <w:pStyle w:val="Listaszerbekezds"/>
              <w:numPr>
                <w:ilvl w:val="0"/>
                <w:numId w:val="10"/>
              </w:numPr>
              <w:spacing w:before="0" w:after="0"/>
              <w:ind w:left="180" w:hanging="18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Logikus gondolkodással az esetlegesen fennálló vagy előidézett kellemetlenségek minimálisra szorítására törekszik, beleértve a problémák anticipációját és a beteg szorongásérzésének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enyhí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tését.</w:t>
            </w:r>
          </w:p>
          <w:p w:rsidR="0038761D" w:rsidRPr="00DC2BEE" w:rsidRDefault="009F2CF7" w:rsidP="00B10DFB">
            <w:pPr>
              <w:pStyle w:val="Listaszerbekezds"/>
              <w:numPr>
                <w:ilvl w:val="0"/>
                <w:numId w:val="10"/>
              </w:numPr>
              <w:spacing w:before="0" w:after="0"/>
              <w:ind w:left="180" w:hanging="18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Az analgetikum dózisát megfelelő mértékben emeli, ha a technikai értelemben alkalmazott stratégiák nem elégségesek a beteg diszkomfortérzetének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enyhítésére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tbl>
      <w:tblPr>
        <w:tblStyle w:val="Rcsostblzat1"/>
        <w:tblW w:w="0" w:type="auto"/>
        <w:tblInd w:w="-10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B10DFB" w:rsidRPr="008E547F" w:rsidTr="00B10DF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DFB" w:rsidRDefault="00B10DFB" w:rsidP="0079095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</w:p>
          <w:p w:rsidR="00B10DFB" w:rsidRDefault="00B10DFB" w:rsidP="0079095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</w:p>
          <w:p w:rsidR="00B10DFB" w:rsidRDefault="00B10DFB" w:rsidP="0079095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</w:p>
        </w:tc>
      </w:tr>
      <w:tr w:rsidR="00B10DFB" w:rsidRPr="008E547F" w:rsidTr="00B10DFB">
        <w:tc>
          <w:tcPr>
            <w:tcW w:w="9062" w:type="dxa"/>
            <w:gridSpan w:val="2"/>
            <w:tcBorders>
              <w:top w:val="nil"/>
            </w:tcBorders>
            <w:shd w:val="clear" w:color="auto" w:fill="295D48"/>
          </w:tcPr>
          <w:p w:rsidR="00B10DFB" w:rsidRPr="00886B9B" w:rsidRDefault="00B10DFB" w:rsidP="0079095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lastRenderedPageBreak/>
              <w:t xml:space="preserve">III. 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VIZUÁLIS MEGJELENÍTÉS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Nyelőcső</w:t>
            </w:r>
          </w:p>
        </w:tc>
        <w:tc>
          <w:tcPr>
            <w:tcW w:w="6652" w:type="dxa"/>
          </w:tcPr>
          <w:p w:rsidR="00B10DFB" w:rsidRPr="006A7F9C" w:rsidRDefault="00B10DFB" w:rsidP="00B10DFB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nyelőcső teljes hosszán teljes körű és alapos szemrevételezés valósulhat meg a megjelenítésnek köszönhetően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Gastrooesophagealis junctio</w:t>
            </w:r>
          </w:p>
        </w:tc>
        <w:tc>
          <w:tcPr>
            <w:tcW w:w="6652" w:type="dxa"/>
          </w:tcPr>
          <w:p w:rsidR="00B10DFB" w:rsidRPr="006A7F9C" w:rsidRDefault="00B10DFB" w:rsidP="00B10DFB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gastrooesophagealis junctio és a laphám–hengerhám határ pontos beazonosítása.</w:t>
            </w:r>
          </w:p>
          <w:p w:rsidR="00B10DFB" w:rsidRPr="00DC2BEE" w:rsidRDefault="00B10DFB" w:rsidP="00B10DFB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gastrooesophagealis junctio mindenre kiterjedő megjelenítése proximálisan és disztálisan is.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Fundus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gyomorfundus valamennyi részének mindenre kiterjedő vizuális megjelenítése a szonda retrográd iránya mellett.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Kisgörbület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sz w:val="20"/>
                <w:szCs w:val="20"/>
                <w:lang w:val="hu-HU"/>
              </w:rPr>
              <w:t>A kisgörbület teljes hosszának vizuális megjelenítése anterográd és retrográd irányban.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Nagygörbület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 nagygörbület teljes hosszának vizuális megjelenítése anterográd és retrográd irányban.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Incisura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Az incisura proximális és disztális széleinek mindenre kiterjedő vizuális megjelenítése.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Antrum és pylorus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Az antrum, a pylorus és a canalis pyloricus mindenre kiterjedő vizuális megjelenítése.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1. szakasza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 nyombél 1. szakaszá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ban a nyombél falának</w:t>
            </w: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 xml:space="preserve"> mindenre kiterjedő vizuális megjelenítése.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Default="00B10DFB" w:rsidP="00790954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6A7F9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Nyombél 2. szakasza</w:t>
            </w:r>
          </w:p>
        </w:tc>
        <w:tc>
          <w:tcPr>
            <w:tcW w:w="6652" w:type="dxa"/>
          </w:tcPr>
          <w:p w:rsidR="00B10DFB" w:rsidRPr="00DC2BEE" w:rsidRDefault="00B10DFB" w:rsidP="00B10DFB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A869D4">
              <w:rPr>
                <w:rFonts w:ascii="Arial Nova" w:hAnsi="Arial Nova"/>
                <w:sz w:val="20"/>
                <w:szCs w:val="20"/>
                <w:lang w:val="hu-HU"/>
              </w:rPr>
              <w:t>A disztális nyombél alapos vizsgálata mindenre kiterjedő vizuális megjelenítéssel.</w:t>
            </w:r>
          </w:p>
        </w:tc>
      </w:tr>
      <w:tr w:rsidR="00B10DFB" w:rsidRPr="008E547F" w:rsidTr="00790954">
        <w:tc>
          <w:tcPr>
            <w:tcW w:w="9062" w:type="dxa"/>
            <w:gridSpan w:val="2"/>
            <w:shd w:val="clear" w:color="auto" w:fill="295D48"/>
          </w:tcPr>
          <w:p w:rsidR="00B10DFB" w:rsidRPr="00886B9B" w:rsidRDefault="00B10DFB" w:rsidP="00790954">
            <w:pPr>
              <w:jc w:val="center"/>
              <w:rPr>
                <w:rFonts w:ascii="Arial Nova" w:hAnsi="Arial Nova"/>
                <w:b/>
                <w:bCs/>
                <w:color w:val="000000"/>
                <w:sz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>IV. TALÁLT ELTÉRÉSEK KEZELÉSE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Kóros elváltozások észlelése és beazonosítása</w:t>
            </w:r>
          </w:p>
        </w:tc>
        <w:tc>
          <w:tcPr>
            <w:tcW w:w="6652" w:type="dxa"/>
          </w:tcPr>
          <w:p w:rsidR="00B10DFB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detektált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kóros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 nem kóros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képletek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gyors észlelése, azok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pontos és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alapos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  <w:p w:rsidR="00B10DFB" w:rsidRPr="00572F30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nyálkahártya még alaposabb szemrevételezését lehetővé tevő endoszkópos technikák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alkalmazása.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Beavatkozás</w:t>
            </w:r>
          </w:p>
        </w:tc>
        <w:tc>
          <w:tcPr>
            <w:tcW w:w="6652" w:type="dxa"/>
          </w:tcPr>
          <w:p w:rsidR="00B10DFB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kóros elváltozás és a klinikai kontextus függvényében megfelelő mintákat vesz.</w:t>
            </w:r>
          </w:p>
          <w:p w:rsidR="00B10DFB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85B8F">
              <w:rPr>
                <w:rFonts w:ascii="Arial Nova" w:hAnsi="Arial Nova"/>
                <w:sz w:val="20"/>
                <w:szCs w:val="20"/>
                <w:lang w:val="hu-HU"/>
              </w:rPr>
              <w:t>Mindent tőle telhetőt megtesz, hogy a szóban forgó léziók vizuális megjelenítése megtörténjen.</w:t>
            </w:r>
          </w:p>
          <w:p w:rsidR="00B10DFB" w:rsidRPr="00585B8F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Elvégzi azokat a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terápiás vagy egyéb célú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endoszkópos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beavatkozásokat, amelyeket a kóros elváltozás és a klinikai kontextus megkövetel (beleértve azt is, ha nem kell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beavatkozást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végezni).</w:t>
            </w:r>
          </w:p>
        </w:tc>
      </w:tr>
      <w:tr w:rsidR="00B10DFB" w:rsidRPr="008E547F" w:rsidTr="00790954">
        <w:tc>
          <w:tcPr>
            <w:tcW w:w="2410" w:type="dxa"/>
            <w:shd w:val="clear" w:color="auto" w:fill="D9F0F3"/>
          </w:tcPr>
          <w:p w:rsidR="00B10DFB" w:rsidRPr="00851AD4" w:rsidRDefault="00B10DFB" w:rsidP="00790954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6652" w:type="dxa"/>
          </w:tcPr>
          <w:p w:rsidR="00B10DFB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esetleges szövődmények kockázata minimális legyen.</w:t>
            </w:r>
          </w:p>
          <w:p w:rsidR="00B10DFB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gyorsan észleli mind az eljárás során, mind az eljárást követően.</w:t>
            </w:r>
          </w:p>
          <w:p w:rsidR="00B10DFB" w:rsidRPr="00572F30" w:rsidRDefault="00B10DFB" w:rsidP="00B10DF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megfelelően és biztonságosan kezeli.</w:t>
            </w:r>
          </w:p>
        </w:tc>
      </w:tr>
    </w:tbl>
    <w:tbl>
      <w:tblPr>
        <w:tblStyle w:val="Rcsostblzat"/>
        <w:tblW w:w="0" w:type="auto"/>
        <w:tblInd w:w="-10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8761D" w:rsidRPr="008E547F" w:rsidTr="00B10DFB">
        <w:tc>
          <w:tcPr>
            <w:tcW w:w="9062" w:type="dxa"/>
            <w:gridSpan w:val="2"/>
            <w:shd w:val="clear" w:color="auto" w:fill="295D48"/>
          </w:tcPr>
          <w:p w:rsidR="0038761D" w:rsidRPr="0048275E" w:rsidRDefault="008A6DDE" w:rsidP="008A6DDE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V. VIZSGÁLAT</w:t>
            </w:r>
            <w:r w:rsidRPr="00886B9B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UTÁN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2A60A6">
        <w:tc>
          <w:tcPr>
            <w:tcW w:w="2410" w:type="dxa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Pontos és mindenre kiterjedő leírást készít az eljárásról és annak eredményéről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(leletezés)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időtartamát feljegy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zi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leletben, amelyet a kép- vagy videofelvétel támaszt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alá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Alkalmazza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endoszkópos beavatkozásoknál használatos,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>pontozáson alapuló klasszifikációkat az esetnek megfelelően.</w:t>
            </w:r>
          </w:p>
        </w:tc>
      </w:tr>
      <w:tr w:rsidR="0038761D" w:rsidRPr="008E547F" w:rsidTr="002A60A6">
        <w:tc>
          <w:tcPr>
            <w:tcW w:w="2410" w:type="dxa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2E14B5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Kezelési terv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38761D" w:rsidRPr="00572F30" w:rsidRDefault="008A6DD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kezelési tervet készít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rögzíti a rendszerben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(amely tartalmazza az esetlegesen felírt gyógyszerkészítményt, a további vizsgálatokat és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utánkövetésért felelős ellátót).</w:t>
            </w:r>
          </w:p>
        </w:tc>
      </w:tr>
      <w:tr w:rsidR="00B10DFB" w:rsidRPr="008E547F" w:rsidTr="002A60A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0DFB" w:rsidRDefault="00B10DFB" w:rsidP="008A6DDE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</w:p>
        </w:tc>
      </w:tr>
      <w:tr w:rsidR="002E14B5" w:rsidRPr="008E547F" w:rsidTr="002A60A6">
        <w:tc>
          <w:tcPr>
            <w:tcW w:w="9062" w:type="dxa"/>
            <w:gridSpan w:val="2"/>
            <w:tcBorders>
              <w:top w:val="nil"/>
            </w:tcBorders>
            <w:shd w:val="clear" w:color="auto" w:fill="295D48"/>
          </w:tcPr>
          <w:p w:rsidR="002E14B5" w:rsidRPr="0048275E" w:rsidRDefault="008A6DDE" w:rsidP="008A6DDE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V</w:t>
            </w:r>
            <w:r w:rsidR="00D31021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. 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S ELJÁRÁSHOZ KAPCSOLÓDÓ, NEM TECHNIKAI JELLEGŰ 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2E14B5" w:rsidRPr="008E547F" w:rsidTr="00B10DFB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6652" w:type="dxa"/>
          </w:tcPr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Mindvégig világosan és egyértelműen kommunikál az asszisztenciát végző személyzettel.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információáramlás mindkét irányban világosan, érthetően, és megfelelő időben történik.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 annak érdekében, hogy a beavatkozást végző csapat és az endoszkópiát végző orvos mindvégig mindenben együttműködjön, és az esettel kapcsolatban mindenki „képben legyen”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, valamint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áramlás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jól működjön.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mindvégig a beteg álljon a beavatkozás középpontjában, külön odafigyelve a beteg biztonsági és kényelmi szempontjaira.</w:t>
            </w:r>
          </w:p>
          <w:p w:rsidR="002E14B5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eredmények és a kezelési terv egyértelmű megfogalmazása és közlése a beteggel és/vagy kísérőjével/gondozójával</w:t>
            </w:r>
          </w:p>
        </w:tc>
      </w:tr>
      <w:tr w:rsidR="002E14B5" w:rsidRPr="008E547F" w:rsidTr="00B10DFB">
        <w:trPr>
          <w:trHeight w:val="1797"/>
        </w:trPr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6652" w:type="dxa"/>
          </w:tcPr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eljárás folyamán a beteg személyes adatai ne sérüljenek és méltóság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át megőrizhesse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Folyamatosan monitorozza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értékeli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beteg állapotát.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megtesz, hogy semmi ne vonja el a figyelmét, mindvégig koncentrált marad, főleg a nehezebb szituációkban.</w:t>
            </w:r>
          </w:p>
          <w:p w:rsidR="002E14B5" w:rsidRPr="0087234B" w:rsidRDefault="008A6DDE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közben az endoszkóp beállításaiban eszközölt változtatásokat figyelemmel kíséri és újra meg újra ellenőrzi.</w:t>
            </w:r>
          </w:p>
        </w:tc>
      </w:tr>
      <w:tr w:rsidR="002E14B5" w:rsidRPr="008E547F" w:rsidTr="00B10DFB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6652" w:type="dxa"/>
          </w:tcPr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Emocionális és kognitív támaszt nyújt a csapat tagjainak úgy, hogy vezetőként és információforrásként is szolgál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7234B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érvényben levő eljárásrendek és klinikai gyakorlatokra vona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kozó előírások szerint jár el, mindenkor a biztonságot és minőségi munkát szem előtt tartva.</w:t>
            </w:r>
          </w:p>
          <w:p w:rsidR="002E14B5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Viselkedése nyugodt és kontrollált, akkor is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amikor nyomás alatt kell cselekednie, mindvégig kézben tartva a helyzet irányítását és vállalva a felelősséget a beteg állapotának kimeneteléért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2E14B5" w:rsidRPr="008E547F" w:rsidTr="00B10DFB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Döntéshozatal</w:t>
            </w:r>
          </w:p>
        </w:tc>
        <w:tc>
          <w:tcPr>
            <w:tcW w:w="6652" w:type="dxa"/>
          </w:tcPr>
          <w:p w:rsidR="0087234B" w:rsidRPr="00E21EB3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Mérlegeli a lehetőségeket és a lehetséges cselekvési irányokat annak érdekében, hogy megoldja az esetlegesen felmerülő problémákat, beleértve a kockázatok és előnyök értékelését.</w:t>
            </w:r>
          </w:p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döntésekről és intézkedésekről a végrehajtás előtt tájékoztatja a csapat tagjait.</w:t>
            </w:r>
          </w:p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Számba veszi és m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rlegeli az eljárás lehetséges kimeneteleit, illetve a problémák megoldási lehetőségeit.</w:t>
            </w:r>
          </w:p>
          <w:p w:rsidR="002E14B5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Re</w:t>
            </w:r>
            <w:r w:rsidRPr="00E21EB3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ekt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 a felmer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ü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ő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probl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kra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olyan 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ltoztat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sokat eszk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z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l, amellyel az elj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gyakorlata jav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í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that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ó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A94193" w:rsidRDefault="00A94193"/>
    <w:sectPr w:rsidR="00A94193" w:rsidSect="002E14B5">
      <w:headerReference w:type="default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E" w:rsidRDefault="0078752E" w:rsidP="004A1643">
      <w:pPr>
        <w:spacing w:before="0" w:after="0"/>
      </w:pPr>
      <w:r>
        <w:separator/>
      </w:r>
    </w:p>
  </w:endnote>
  <w:endnote w:type="continuationSeparator" w:id="0">
    <w:p w:rsidR="0078752E" w:rsidRDefault="0078752E" w:rsidP="004A16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471147"/>
      <w:docPartObj>
        <w:docPartGallery w:val="Page Numbers (Bottom of Page)"/>
        <w:docPartUnique/>
      </w:docPartObj>
    </w:sdtPr>
    <w:sdtEndPr/>
    <w:sdtContent>
      <w:p w:rsidR="00761EC3" w:rsidRDefault="00262180">
        <w:pPr>
          <w:pStyle w:val="llb"/>
          <w:jc w:val="center"/>
        </w:pPr>
        <w:r>
          <w:fldChar w:fldCharType="begin"/>
        </w:r>
        <w:r w:rsidR="00761EC3">
          <w:instrText>PAGE   \* MERGEFORMAT</w:instrText>
        </w:r>
        <w:r>
          <w:fldChar w:fldCharType="separate"/>
        </w:r>
        <w:r w:rsidR="000B25B1" w:rsidRPr="000B25B1">
          <w:rPr>
            <w:noProof/>
            <w:lang w:val="hu-HU"/>
          </w:rPr>
          <w:t>9</w:t>
        </w:r>
        <w:r>
          <w:fldChar w:fldCharType="end"/>
        </w:r>
      </w:p>
    </w:sdtContent>
  </w:sdt>
  <w:p w:rsidR="00761EC3" w:rsidRDefault="00761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E" w:rsidRDefault="0078752E" w:rsidP="004A1643">
      <w:pPr>
        <w:spacing w:before="0" w:after="0"/>
      </w:pPr>
      <w:r>
        <w:separator/>
      </w:r>
    </w:p>
  </w:footnote>
  <w:footnote w:type="continuationSeparator" w:id="0">
    <w:p w:rsidR="0078752E" w:rsidRDefault="0078752E" w:rsidP="004A16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BD" w:rsidRDefault="00967ABD" w:rsidP="00967ABD">
    <w:pPr>
      <w:pStyle w:val="lfej"/>
      <w:jc w:val="center"/>
    </w:pPr>
    <w:r>
      <w:rPr>
        <w:noProof/>
        <w:lang w:val="hu-HU" w:eastAsia="hu-HU"/>
      </w:rPr>
      <w:drawing>
        <wp:inline distT="0" distB="0" distL="0" distR="0">
          <wp:extent cx="1247775" cy="646172"/>
          <wp:effectExtent l="0" t="0" r="0" b="1905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79" cy="65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08FB" w:rsidRDefault="004C08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A74"/>
    <w:multiLevelType w:val="hybridMultilevel"/>
    <w:tmpl w:val="01300E4E"/>
    <w:lvl w:ilvl="0" w:tplc="C0FC17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12A"/>
    <w:multiLevelType w:val="hybridMultilevel"/>
    <w:tmpl w:val="073C0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AAE"/>
    <w:multiLevelType w:val="hybridMultilevel"/>
    <w:tmpl w:val="0056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7819"/>
    <w:multiLevelType w:val="hybridMultilevel"/>
    <w:tmpl w:val="46C68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3B34"/>
    <w:multiLevelType w:val="hybridMultilevel"/>
    <w:tmpl w:val="E0547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B76"/>
    <w:multiLevelType w:val="hybridMultilevel"/>
    <w:tmpl w:val="D59C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3B80"/>
    <w:multiLevelType w:val="hybridMultilevel"/>
    <w:tmpl w:val="A7863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674"/>
    <w:multiLevelType w:val="hybridMultilevel"/>
    <w:tmpl w:val="78282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181"/>
    <w:multiLevelType w:val="hybridMultilevel"/>
    <w:tmpl w:val="DAC0A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578E"/>
    <w:multiLevelType w:val="hybridMultilevel"/>
    <w:tmpl w:val="9EA0ED72"/>
    <w:lvl w:ilvl="0" w:tplc="845C229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CA5169"/>
    <w:multiLevelType w:val="hybridMultilevel"/>
    <w:tmpl w:val="EA426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1581B"/>
    <w:multiLevelType w:val="hybridMultilevel"/>
    <w:tmpl w:val="8438C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6142B"/>
    <w:multiLevelType w:val="hybridMultilevel"/>
    <w:tmpl w:val="C4882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82BFA"/>
    <w:multiLevelType w:val="hybridMultilevel"/>
    <w:tmpl w:val="B568D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7772"/>
    <w:multiLevelType w:val="hybridMultilevel"/>
    <w:tmpl w:val="2DDC9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85FC">
      <w:numFmt w:val="bullet"/>
      <w:lvlText w:val="•"/>
      <w:lvlJc w:val="left"/>
      <w:pPr>
        <w:ind w:left="1440" w:hanging="360"/>
      </w:pPr>
      <w:rPr>
        <w:rFonts w:ascii="Arial Nova" w:eastAsia="Calibri" w:hAnsi="Arial Nov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41488"/>
    <w:multiLevelType w:val="hybridMultilevel"/>
    <w:tmpl w:val="B5B67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GytDQwMQDSRsYWRko6SsGpxcWZ+XkgBWa1AChY+Z4sAAAA"/>
  </w:docVars>
  <w:rsids>
    <w:rsidRoot w:val="00A94193"/>
    <w:rsid w:val="00001F31"/>
    <w:rsid w:val="000223D5"/>
    <w:rsid w:val="00077533"/>
    <w:rsid w:val="000B25B1"/>
    <w:rsid w:val="000F3A4E"/>
    <w:rsid w:val="00127003"/>
    <w:rsid w:val="001332CE"/>
    <w:rsid w:val="00173746"/>
    <w:rsid w:val="00177069"/>
    <w:rsid w:val="00184B57"/>
    <w:rsid w:val="00196569"/>
    <w:rsid w:val="001D2361"/>
    <w:rsid w:val="00262180"/>
    <w:rsid w:val="002863F9"/>
    <w:rsid w:val="002A60A6"/>
    <w:rsid w:val="002E14B5"/>
    <w:rsid w:val="002E300A"/>
    <w:rsid w:val="00304569"/>
    <w:rsid w:val="00304E59"/>
    <w:rsid w:val="00323ED3"/>
    <w:rsid w:val="0038761D"/>
    <w:rsid w:val="003A51F3"/>
    <w:rsid w:val="003B14B9"/>
    <w:rsid w:val="003B43DA"/>
    <w:rsid w:val="003E7F72"/>
    <w:rsid w:val="003E7FD1"/>
    <w:rsid w:val="003F7346"/>
    <w:rsid w:val="004062CA"/>
    <w:rsid w:val="00427E19"/>
    <w:rsid w:val="0043189B"/>
    <w:rsid w:val="0043313C"/>
    <w:rsid w:val="0045473A"/>
    <w:rsid w:val="00464C19"/>
    <w:rsid w:val="0048275E"/>
    <w:rsid w:val="004853F5"/>
    <w:rsid w:val="004A1643"/>
    <w:rsid w:val="004B0DE4"/>
    <w:rsid w:val="004C08FB"/>
    <w:rsid w:val="00501C83"/>
    <w:rsid w:val="0057095C"/>
    <w:rsid w:val="00572F30"/>
    <w:rsid w:val="005A4590"/>
    <w:rsid w:val="005D6D26"/>
    <w:rsid w:val="00606B09"/>
    <w:rsid w:val="006453F0"/>
    <w:rsid w:val="00650C21"/>
    <w:rsid w:val="006771EE"/>
    <w:rsid w:val="00695C88"/>
    <w:rsid w:val="006B6B9F"/>
    <w:rsid w:val="00712537"/>
    <w:rsid w:val="00714B05"/>
    <w:rsid w:val="0073659C"/>
    <w:rsid w:val="007567BA"/>
    <w:rsid w:val="00761EC3"/>
    <w:rsid w:val="0078752E"/>
    <w:rsid w:val="007A3381"/>
    <w:rsid w:val="007C332E"/>
    <w:rsid w:val="007E3955"/>
    <w:rsid w:val="0087234B"/>
    <w:rsid w:val="008A6DDE"/>
    <w:rsid w:val="008E547F"/>
    <w:rsid w:val="008F6EE7"/>
    <w:rsid w:val="00921165"/>
    <w:rsid w:val="00967ABD"/>
    <w:rsid w:val="009949C1"/>
    <w:rsid w:val="009B0E30"/>
    <w:rsid w:val="009C17D5"/>
    <w:rsid w:val="009D4477"/>
    <w:rsid w:val="009E40CA"/>
    <w:rsid w:val="009F2CF7"/>
    <w:rsid w:val="00A048CA"/>
    <w:rsid w:val="00A24BAA"/>
    <w:rsid w:val="00A578F7"/>
    <w:rsid w:val="00A73AE3"/>
    <w:rsid w:val="00A80651"/>
    <w:rsid w:val="00A94193"/>
    <w:rsid w:val="00AC6360"/>
    <w:rsid w:val="00B10355"/>
    <w:rsid w:val="00B10DFB"/>
    <w:rsid w:val="00B346AD"/>
    <w:rsid w:val="00B544FF"/>
    <w:rsid w:val="00B6163A"/>
    <w:rsid w:val="00B6181D"/>
    <w:rsid w:val="00B669A5"/>
    <w:rsid w:val="00B9040B"/>
    <w:rsid w:val="00BA104D"/>
    <w:rsid w:val="00BA5052"/>
    <w:rsid w:val="00BB54CD"/>
    <w:rsid w:val="00C314DE"/>
    <w:rsid w:val="00C401A5"/>
    <w:rsid w:val="00C519BE"/>
    <w:rsid w:val="00C8201B"/>
    <w:rsid w:val="00CB7024"/>
    <w:rsid w:val="00CF6F83"/>
    <w:rsid w:val="00D31021"/>
    <w:rsid w:val="00D73F44"/>
    <w:rsid w:val="00DA746A"/>
    <w:rsid w:val="00DC2BEE"/>
    <w:rsid w:val="00E05D73"/>
    <w:rsid w:val="00E135AB"/>
    <w:rsid w:val="00E21EB3"/>
    <w:rsid w:val="00E47FED"/>
    <w:rsid w:val="00E57FF1"/>
    <w:rsid w:val="00E75B60"/>
    <w:rsid w:val="00E8507E"/>
    <w:rsid w:val="00EB0103"/>
    <w:rsid w:val="00EB431C"/>
    <w:rsid w:val="00EC280A"/>
    <w:rsid w:val="00F11CC0"/>
    <w:rsid w:val="00F612C4"/>
    <w:rsid w:val="00F71BE7"/>
    <w:rsid w:val="00FC1076"/>
    <w:rsid w:val="00FE024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6D12653-7063-427B-98DA-E2D7BAC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5B60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4A164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4A1643"/>
    <w:rPr>
      <w:rFonts w:ascii="Calibri" w:eastAsia="Calibri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30456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B1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4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B5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11772</Characters>
  <Application>Microsoft Office Word</Application>
  <DocSecurity>0</DocSecurity>
  <Lines>98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Stötzer Andrea</dc:creator>
  <cp:lastModifiedBy>Orvos</cp:lastModifiedBy>
  <cp:revision>4</cp:revision>
  <cp:lastPrinted>2022-12-04T00:27:00Z</cp:lastPrinted>
  <dcterms:created xsi:type="dcterms:W3CDTF">2023-01-05T10:54:00Z</dcterms:created>
  <dcterms:modified xsi:type="dcterms:W3CDTF">2023-03-27T15:31:00Z</dcterms:modified>
</cp:coreProperties>
</file>